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09" w:rsidRDefault="00940734" w:rsidP="00940734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Spring Valley Lake</w:t>
      </w:r>
    </w:p>
    <w:p w:rsidR="00940734" w:rsidRDefault="00940734" w:rsidP="00940734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940734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940734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940734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940734" w:rsidRPr="00940734" w:rsidRDefault="00940734" w:rsidP="00940734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 w:rsidRPr="00DA66AF">
        <w:rPr>
          <w:i/>
          <w:noProof/>
        </w:rPr>
        <w:drawing>
          <wp:inline distT="0" distB="0" distL="0" distR="0" wp14:anchorId="622294BD" wp14:editId="51EBB771">
            <wp:extent cx="8810625" cy="59626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40734" w:rsidRPr="00940734" w:rsidSect="009407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34"/>
    <w:rsid w:val="00252809"/>
    <w:rsid w:val="00940734"/>
    <w:rsid w:val="00D35974"/>
    <w:rsid w:val="00D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7BBCD-DC02-4605-8319-AA8755C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1</c:v>
                </c:pt>
                <c:pt idx="2">
                  <c:v>10</c:v>
                </c:pt>
                <c:pt idx="3">
                  <c:v>14</c:v>
                </c:pt>
                <c:pt idx="4">
                  <c:v>44</c:v>
                </c:pt>
                <c:pt idx="5">
                  <c:v>32</c:v>
                </c:pt>
                <c:pt idx="6">
                  <c:v>26</c:v>
                </c:pt>
                <c:pt idx="7">
                  <c:v>17</c:v>
                </c:pt>
                <c:pt idx="8">
                  <c:v>10</c:v>
                </c:pt>
                <c:pt idx="9">
                  <c:v>5</c:v>
                </c:pt>
                <c:pt idx="10">
                  <c:v>11</c:v>
                </c:pt>
                <c:pt idx="11">
                  <c:v>6</c:v>
                </c:pt>
                <c:pt idx="12">
                  <c:v>8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0594752"/>
        <c:axId val="430606512"/>
        <c:axId val="0"/>
      </c:bar3DChart>
      <c:catAx>
        <c:axId val="430594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0606512"/>
        <c:crosses val="autoZero"/>
        <c:auto val="1"/>
        <c:lblAlgn val="ctr"/>
        <c:lblOffset val="100"/>
        <c:noMultiLvlLbl val="0"/>
      </c:catAx>
      <c:valAx>
        <c:axId val="4306065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0594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0.16865</cdr:x>
      <cdr:y>0.07668</cdr:y>
    </cdr:from>
    <cdr:to>
      <cdr:x>0.54162</cdr:x>
      <cdr:y>0.12141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457200"/>
          <a:ext cx="32861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3,377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0.16865</cdr:x>
      <cdr:y>0.14377</cdr:y>
    </cdr:from>
    <cdr:to>
      <cdr:x>0.56649</cdr:x>
      <cdr:y>0.1869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857250"/>
          <a:ext cx="35052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2,872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0.16757</cdr:x>
      <cdr:y>0.20767</cdr:y>
    </cdr:from>
    <cdr:to>
      <cdr:x>0.57189</cdr:x>
      <cdr:y>0.25399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238250"/>
          <a:ext cx="35623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2,660 </a:t>
          </a:r>
          <a:r>
            <a:rPr lang="en-US" sz="1000" i="1" baseline="0"/>
            <a:t>- Average Year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0.16865</cdr:x>
      <cdr:y>0.27636</cdr:y>
    </cdr:from>
    <cdr:to>
      <cdr:x>0.53081</cdr:x>
      <cdr:y>0.31789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1647825"/>
          <a:ext cx="31908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2,872 </a:t>
          </a:r>
          <a:r>
            <a:rPr lang="en-US" sz="1000" i="1"/>
            <a:t>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0.16757</cdr:x>
      <cdr:y>0.34026</cdr:y>
    </cdr:from>
    <cdr:to>
      <cdr:x>0.50486</cdr:x>
      <cdr:y>0.38658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028825"/>
          <a:ext cx="29718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2,532 </a:t>
          </a:r>
          <a:r>
            <a:rPr lang="en-US" sz="1000" i="1"/>
            <a:t>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0.16757</cdr:x>
      <cdr:y>0.40735</cdr:y>
    </cdr:from>
    <cdr:to>
      <cdr:x>0.48541</cdr:x>
      <cdr:y>0.45048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428875"/>
          <a:ext cx="28003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2,117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0.16757</cdr:x>
      <cdr:y>0.47284</cdr:y>
    </cdr:from>
    <cdr:to>
      <cdr:x>0.49189</cdr:x>
      <cdr:y>0.51757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819400"/>
          <a:ext cx="28575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2,333 </a:t>
          </a:r>
          <a:r>
            <a:rPr lang="en-US" sz="1000" i="1" baseline="0"/>
            <a:t>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0.16757</cdr:x>
      <cdr:y>0.53994</cdr:y>
    </cdr:from>
    <cdr:to>
      <cdr:x>0.51459</cdr:x>
      <cdr:y>0.58626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219450"/>
          <a:ext cx="30575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2,128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0.16757</cdr:x>
      <cdr:y>0.60543</cdr:y>
    </cdr:from>
    <cdr:to>
      <cdr:x>0.49838</cdr:x>
      <cdr:y>0.65016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609975"/>
          <a:ext cx="29146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1,883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0.16757</cdr:x>
      <cdr:y>0.67252</cdr:y>
    </cdr:from>
    <cdr:to>
      <cdr:x>0.50162</cdr:x>
      <cdr:y>0.71725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010025"/>
          <a:ext cx="29432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1,728 </a:t>
          </a:r>
          <a:r>
            <a:rPr lang="en-US" sz="1000" i="1"/>
            <a:t>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0.16757</cdr:x>
      <cdr:y>0.73802</cdr:y>
    </cdr:from>
    <cdr:to>
      <cdr:x>0.50486</cdr:x>
      <cdr:y>0.78435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400550"/>
          <a:ext cx="29718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1</a:t>
          </a:r>
          <a:r>
            <a:rPr lang="en-US" sz="1000" b="1" i="1"/>
            <a:t>,560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0.16757</cdr:x>
      <cdr:y>0.80671</cdr:y>
    </cdr:from>
    <cdr:to>
      <cdr:x>0.47351</cdr:x>
      <cdr:y>0.84984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810125"/>
          <a:ext cx="2695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1,483</a:t>
          </a:r>
          <a:r>
            <a:rPr lang="en-US" sz="1000" i="1"/>
            <a:t> - Average Year Built </a:t>
          </a:r>
          <a:r>
            <a:rPr lang="en-US" sz="1000" b="1" i="1"/>
            <a:t>1982</a:t>
          </a:r>
        </a:p>
      </cdr:txBody>
    </cdr:sp>
  </cdr:relSizeAnchor>
  <cdr:relSizeAnchor xmlns:cdr="http://schemas.openxmlformats.org/drawingml/2006/chartDrawing">
    <cdr:from>
      <cdr:x>0.16649</cdr:x>
      <cdr:y>0.86901</cdr:y>
    </cdr:from>
    <cdr:to>
      <cdr:x>0.54811</cdr:x>
      <cdr:y>0.92812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181600"/>
          <a:ext cx="33623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1,320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0.38378</cdr:x>
      <cdr:y>0.00639</cdr:y>
    </cdr:from>
    <cdr:to>
      <cdr:x>0.79135</cdr:x>
      <cdr:y>0.07508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3381375" y="38099"/>
          <a:ext cx="35909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>
              <a:latin typeface="Californian FB" panose="0207040306080B030204" pitchFamily="18" charset="0"/>
            </a:rPr>
            <a:t>      </a:t>
          </a:r>
          <a:r>
            <a:rPr lang="en-US" sz="2000" i="1">
              <a:latin typeface="Californian FB" panose="0207040306080B030204" pitchFamily="18" charset="0"/>
            </a:rPr>
            <a:t>185 Homes</a:t>
          </a:r>
          <a:r>
            <a:rPr lang="en-US" sz="2000" i="1" baseline="0">
              <a:latin typeface="Californian FB" panose="0207040306080B030204" pitchFamily="18" charset="0"/>
            </a:rPr>
            <a:t> Sold</a:t>
          </a:r>
          <a:endParaRPr lang="en-US" sz="2000" i="1">
            <a:latin typeface="Californian FB" panose="0207040306080B0302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2017-01-03T18:50:00Z</dcterms:created>
  <dcterms:modified xsi:type="dcterms:W3CDTF">2017-01-03T18:50:00Z</dcterms:modified>
</cp:coreProperties>
</file>